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A9C3" w14:textId="77777777" w:rsidR="00AF4FA1" w:rsidRPr="00AF4FA1" w:rsidRDefault="00AF4FA1" w:rsidP="00AF4FA1">
      <w:pPr>
        <w:spacing w:before="100" w:beforeAutospacing="1" w:after="100" w:afterAutospacing="1" w:line="240" w:lineRule="auto"/>
        <w:rPr>
          <w:rFonts w:ascii="Poppins" w:eastAsia="Times New Roman" w:hAnsi="Poppins" w:cs="Poppins"/>
          <w:b/>
          <w:bCs/>
          <w:kern w:val="0"/>
          <w:sz w:val="20"/>
          <w:szCs w:val="20"/>
          <w:lang w:eastAsia="en-GB"/>
          <w14:ligatures w14:val="none"/>
        </w:rPr>
      </w:pPr>
      <w:r w:rsidRPr="00AF4FA1">
        <w:rPr>
          <w:rFonts w:ascii="Poppins" w:eastAsia="Times New Roman" w:hAnsi="Poppins" w:cs="Poppins"/>
          <w:b/>
          <w:bCs/>
          <w:kern w:val="0"/>
          <w:sz w:val="20"/>
          <w:szCs w:val="20"/>
          <w:lang w:eastAsia="en-GB"/>
          <w14:ligatures w14:val="none"/>
        </w:rPr>
        <w:t>[DATE]</w:t>
      </w:r>
    </w:p>
    <w:p w14:paraId="121478D2" w14:textId="092E0970" w:rsid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Pr>
          <w:rFonts w:ascii="Poppins" w:eastAsia="Times New Roman" w:hAnsi="Poppins" w:cs="Poppins"/>
          <w:kern w:val="0"/>
          <w:sz w:val="20"/>
          <w:szCs w:val="20"/>
          <w:lang w:eastAsia="en-GB"/>
          <w14:ligatures w14:val="none"/>
        </w:rPr>
        <w:t>To,</w:t>
      </w:r>
    </w:p>
    <w:p w14:paraId="3C16798D" w14:textId="62DE3610" w:rsid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The Director</w:t>
      </w:r>
      <w:r>
        <w:rPr>
          <w:rFonts w:ascii="Poppins" w:eastAsia="Times New Roman" w:hAnsi="Poppins" w:cs="Poppins"/>
          <w:kern w:val="0"/>
          <w:sz w:val="20"/>
          <w:szCs w:val="20"/>
          <w:lang w:eastAsia="en-GB"/>
          <w14:ligatures w14:val="none"/>
        </w:rPr>
        <w:t xml:space="preserve"> of the </w:t>
      </w:r>
      <w:r w:rsidRPr="00AF4FA1">
        <w:rPr>
          <w:rFonts w:ascii="Poppins" w:eastAsia="Times New Roman" w:hAnsi="Poppins" w:cs="Poppins"/>
          <w:kern w:val="0"/>
          <w:sz w:val="20"/>
          <w:szCs w:val="20"/>
          <w:lang w:eastAsia="en-GB"/>
          <w14:ligatures w14:val="none"/>
        </w:rPr>
        <w:t>Anti-Money Laundering and Terrorist Financing Department</w:t>
      </w:r>
      <w:r>
        <w:rPr>
          <w:rFonts w:ascii="Poppins" w:eastAsia="Times New Roman" w:hAnsi="Poppins" w:cs="Poppins"/>
          <w:kern w:val="0"/>
          <w:sz w:val="20"/>
          <w:szCs w:val="20"/>
          <w:lang w:eastAsia="en-GB"/>
          <w14:ligatures w14:val="none"/>
        </w:rPr>
        <w:t>,</w:t>
      </w:r>
    </w:p>
    <w:p w14:paraId="3D1165DD" w14:textId="77777777" w:rsid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Ministry of Economy &amp; Tourism</w:t>
      </w:r>
      <w:r>
        <w:rPr>
          <w:rFonts w:ascii="Poppins" w:eastAsia="Times New Roman" w:hAnsi="Poppins" w:cs="Poppins"/>
          <w:kern w:val="0"/>
          <w:sz w:val="20"/>
          <w:szCs w:val="20"/>
          <w:lang w:eastAsia="en-GB"/>
          <w14:ligatures w14:val="none"/>
        </w:rPr>
        <w:t>,</w:t>
      </w:r>
      <w:r w:rsidRPr="00AF4FA1">
        <w:rPr>
          <w:rFonts w:ascii="Poppins" w:eastAsia="Times New Roman" w:hAnsi="Poppins" w:cs="Poppins"/>
          <w:kern w:val="0"/>
          <w:sz w:val="20"/>
          <w:szCs w:val="20"/>
          <w:lang w:eastAsia="en-GB"/>
          <w14:ligatures w14:val="none"/>
        </w:rPr>
        <w:t xml:space="preserve"> </w:t>
      </w:r>
    </w:p>
    <w:p w14:paraId="19846806" w14:textId="6502F22C"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United Arab Emirates</w:t>
      </w:r>
      <w:r>
        <w:rPr>
          <w:rFonts w:ascii="Poppins" w:eastAsia="Times New Roman" w:hAnsi="Poppins" w:cs="Poppins"/>
          <w:kern w:val="0"/>
          <w:sz w:val="20"/>
          <w:szCs w:val="20"/>
          <w:lang w:eastAsia="en-GB"/>
          <w14:ligatures w14:val="none"/>
        </w:rPr>
        <w:t>.</w:t>
      </w:r>
    </w:p>
    <w:p w14:paraId="07975AEA" w14:textId="77777777"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Re</w:t>
      </w:r>
      <w:r w:rsidRPr="00AF4FA1">
        <w:rPr>
          <w:rFonts w:ascii="Poppins" w:eastAsia="Times New Roman" w:hAnsi="Poppins" w:cs="Poppins"/>
          <w:b/>
          <w:bCs/>
          <w:kern w:val="0"/>
          <w:sz w:val="20"/>
          <w:szCs w:val="20"/>
          <w:lang w:eastAsia="en-GB"/>
          <w14:ligatures w14:val="none"/>
        </w:rPr>
        <w:t xml:space="preserve">: </w:t>
      </w:r>
      <w:r w:rsidRPr="00AF4FA1">
        <w:rPr>
          <w:rFonts w:ascii="Poppins" w:eastAsia="Times New Roman" w:hAnsi="Poppins" w:cs="Poppins"/>
          <w:kern w:val="0"/>
          <w:sz w:val="20"/>
          <w:szCs w:val="20"/>
          <w:lang w:eastAsia="en-GB"/>
          <w14:ligatures w14:val="none"/>
        </w:rPr>
        <w:t xml:space="preserve">Declaration of Commitment to Implement Corrective Measures in Response to Letter of Concern dated </w:t>
      </w:r>
      <w:r w:rsidRPr="00AF4FA1">
        <w:rPr>
          <w:rFonts w:ascii="Poppins" w:eastAsia="Times New Roman" w:hAnsi="Poppins" w:cs="Poppins"/>
          <w:b/>
          <w:bCs/>
          <w:kern w:val="0"/>
          <w:sz w:val="20"/>
          <w:szCs w:val="20"/>
          <w:lang w:eastAsia="en-GB"/>
          <w14:ligatures w14:val="none"/>
        </w:rPr>
        <w:t>[DATE OF MINISTRY LETTER]</w:t>
      </w:r>
    </w:p>
    <w:p w14:paraId="54878757" w14:textId="77777777"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Dear Sir / Madam,</w:t>
      </w:r>
    </w:p>
    <w:p w14:paraId="6E60079E" w14:textId="09FB7EB9"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 xml:space="preserve">We, the undersigned, on behalf of </w:t>
      </w:r>
      <w:r w:rsidRPr="00AF4FA1">
        <w:rPr>
          <w:rFonts w:ascii="Poppins" w:eastAsia="Times New Roman" w:hAnsi="Poppins" w:cs="Poppins"/>
          <w:b/>
          <w:bCs/>
          <w:kern w:val="0"/>
          <w:sz w:val="20"/>
          <w:szCs w:val="20"/>
          <w:lang w:eastAsia="en-GB"/>
          <w14:ligatures w14:val="none"/>
        </w:rPr>
        <w:t>[ENTITY LEGAL NAME]</w:t>
      </w:r>
      <w:r>
        <w:rPr>
          <w:rFonts w:ascii="Poppins" w:eastAsia="Times New Roman" w:hAnsi="Poppins" w:cs="Poppins"/>
          <w:kern w:val="0"/>
          <w:sz w:val="20"/>
          <w:szCs w:val="20"/>
          <w:lang w:eastAsia="en-GB"/>
          <w14:ligatures w14:val="none"/>
        </w:rPr>
        <w:t xml:space="preserve">, </w:t>
      </w:r>
      <w:r w:rsidRPr="00AF4FA1">
        <w:rPr>
          <w:rFonts w:ascii="Poppins" w:eastAsia="Times New Roman" w:hAnsi="Poppins" w:cs="Poppins"/>
          <w:kern w:val="0"/>
          <w:sz w:val="20"/>
          <w:szCs w:val="20"/>
          <w:lang w:eastAsia="en-GB"/>
          <w14:ligatures w14:val="none"/>
        </w:rPr>
        <w:t xml:space="preserve">Trade Licence No. </w:t>
      </w:r>
      <w:r w:rsidRPr="00AF4FA1">
        <w:rPr>
          <w:rFonts w:ascii="Poppins" w:eastAsia="Times New Roman" w:hAnsi="Poppins" w:cs="Poppins"/>
          <w:b/>
          <w:bCs/>
          <w:kern w:val="0"/>
          <w:sz w:val="20"/>
          <w:szCs w:val="20"/>
          <w:lang w:eastAsia="en-GB"/>
          <w14:ligatures w14:val="none"/>
        </w:rPr>
        <w:t>[LICENCE NUMBER]</w:t>
      </w:r>
      <w:r w:rsidRPr="00AF4FA1">
        <w:rPr>
          <w:rFonts w:ascii="Poppins" w:eastAsia="Times New Roman" w:hAnsi="Poppins" w:cs="Poppins"/>
          <w:kern w:val="0"/>
          <w:sz w:val="20"/>
          <w:szCs w:val="20"/>
          <w:lang w:eastAsia="en-GB"/>
          <w14:ligatures w14:val="none"/>
        </w:rPr>
        <w:t xml:space="preserve"> hereby acknowledge receipt of the Letter of Concern – Immediate Enhancements Required issued by the Ministry of Economy &amp; Tourism dated </w:t>
      </w:r>
      <w:r w:rsidRPr="00AF4FA1">
        <w:rPr>
          <w:rFonts w:ascii="Poppins" w:eastAsia="Times New Roman" w:hAnsi="Poppins" w:cs="Poppins"/>
          <w:b/>
          <w:bCs/>
          <w:kern w:val="0"/>
          <w:sz w:val="20"/>
          <w:szCs w:val="20"/>
          <w:lang w:eastAsia="en-GB"/>
          <w14:ligatures w14:val="none"/>
        </w:rPr>
        <w:t>[DATE OF MINISTRY LETTER]</w:t>
      </w:r>
      <w:r w:rsidRPr="00AF4FA1">
        <w:rPr>
          <w:rFonts w:ascii="Poppins" w:eastAsia="Times New Roman" w:hAnsi="Poppins" w:cs="Poppins"/>
          <w:kern w:val="0"/>
          <w:sz w:val="20"/>
          <w:szCs w:val="20"/>
          <w:lang w:eastAsia="en-GB"/>
          <w14:ligatures w14:val="none"/>
        </w:rPr>
        <w:t>, which identified deficiencies in our AML/CFT and Targeted Financial Sanctions (TFS) compliance framework.</w:t>
      </w:r>
    </w:p>
    <w:p w14:paraId="751131A1" w14:textId="20ED0078"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 xml:space="preserve">Having reviewed the findings and the corresponding remedial actions set out in the said letter, we hereby formally declare our unconditional commitment to implement all corrective measures as specified within the </w:t>
      </w:r>
      <w:r>
        <w:rPr>
          <w:rFonts w:ascii="Poppins" w:eastAsia="Times New Roman" w:hAnsi="Poppins" w:cs="Poppins"/>
          <w:kern w:val="0"/>
          <w:sz w:val="20"/>
          <w:szCs w:val="20"/>
          <w:lang w:eastAsia="en-GB"/>
          <w14:ligatures w14:val="none"/>
        </w:rPr>
        <w:t xml:space="preserve">stipulated </w:t>
      </w:r>
      <w:r w:rsidRPr="00AF4FA1">
        <w:rPr>
          <w:rFonts w:ascii="Poppins" w:eastAsia="Times New Roman" w:hAnsi="Poppins" w:cs="Poppins"/>
          <w:kern w:val="0"/>
          <w:sz w:val="20"/>
          <w:szCs w:val="20"/>
          <w:lang w:eastAsia="en-GB"/>
          <w14:ligatures w14:val="none"/>
        </w:rPr>
        <w:t>30-day timeframe.</w:t>
      </w:r>
    </w:p>
    <w:p w14:paraId="2FA9E9CC" w14:textId="77777777"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The corrective actions we commit to implementing include:</w:t>
      </w:r>
    </w:p>
    <w:p w14:paraId="247AF7C6" w14:textId="773882DB"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b/>
          <w:bCs/>
          <w:kern w:val="0"/>
          <w:sz w:val="20"/>
          <w:szCs w:val="20"/>
          <w:lang w:eastAsia="en-GB"/>
          <w14:ligatures w14:val="none"/>
        </w:rPr>
        <w:t>1. AML/CFT Policies &amp; Procedures</w:t>
      </w:r>
      <w:r>
        <w:rPr>
          <w:rFonts w:ascii="Poppins" w:eastAsia="Times New Roman" w:hAnsi="Poppins" w:cs="Poppins"/>
          <w:b/>
          <w:bCs/>
          <w:kern w:val="0"/>
          <w:sz w:val="20"/>
          <w:szCs w:val="20"/>
          <w:lang w:eastAsia="en-GB"/>
          <w14:ligatures w14:val="none"/>
        </w:rPr>
        <w:t>:</w:t>
      </w:r>
      <w:r w:rsidRPr="00AF4FA1">
        <w:rPr>
          <w:rFonts w:ascii="Poppins" w:eastAsia="Times New Roman" w:hAnsi="Poppins" w:cs="Poppins"/>
          <w:kern w:val="0"/>
          <w:sz w:val="20"/>
          <w:szCs w:val="20"/>
          <w:lang w:eastAsia="en-GB"/>
          <w14:ligatures w14:val="none"/>
        </w:rPr>
        <w:t xml:space="preserve"> Updating our AML/CFT and Targeted Financial Sanctions policies to align with Federal Decree-Law No. 10 of 2025 and Cabinet Resolution No. 134 of 2025, including clear, documented procedures for SAR/STR reporting, Customer Due Diligence (CDD), and Enhanced Due Diligence (EDD).</w:t>
      </w:r>
    </w:p>
    <w:p w14:paraId="1C803768" w14:textId="4E00F1AF"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b/>
          <w:bCs/>
          <w:kern w:val="0"/>
          <w:sz w:val="20"/>
          <w:szCs w:val="20"/>
          <w:lang w:eastAsia="en-GB"/>
          <w14:ligatures w14:val="none"/>
        </w:rPr>
        <w:t>2. Sanctions Screening</w:t>
      </w:r>
      <w:r>
        <w:rPr>
          <w:rFonts w:ascii="Poppins" w:eastAsia="Times New Roman" w:hAnsi="Poppins" w:cs="Poppins"/>
          <w:b/>
          <w:bCs/>
          <w:kern w:val="0"/>
          <w:sz w:val="20"/>
          <w:szCs w:val="20"/>
          <w:lang w:eastAsia="en-GB"/>
          <w14:ligatures w14:val="none"/>
        </w:rPr>
        <w:t>:</w:t>
      </w:r>
      <w:r w:rsidRPr="00AF4FA1">
        <w:rPr>
          <w:rFonts w:ascii="Poppins" w:eastAsia="Times New Roman" w:hAnsi="Poppins" w:cs="Poppins"/>
          <w:kern w:val="0"/>
          <w:sz w:val="20"/>
          <w:szCs w:val="20"/>
          <w:lang w:eastAsia="en-GB"/>
          <w14:ligatures w14:val="none"/>
        </w:rPr>
        <w:t xml:space="preserve"> Subscribing to the Executive Office for Control and Non-Proliferation (EOCN) notification system and ensuring that all customers, beneficial owners, authorised signatories, and counterparties are screened against the UAE Local Terrorist List and the UN Security Council Sanctions Lists — both at onboarding and on an ongoing basis — with full documentation of all screening results.</w:t>
      </w:r>
    </w:p>
    <w:p w14:paraId="7DDA4767" w14:textId="1544B698"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b/>
          <w:bCs/>
          <w:kern w:val="0"/>
          <w:sz w:val="20"/>
          <w:szCs w:val="20"/>
          <w:lang w:eastAsia="en-GB"/>
          <w14:ligatures w14:val="none"/>
        </w:rPr>
        <w:t>3. Customer Due Diligence (CDD) / Enhanced Due Diligence (EDD)</w:t>
      </w:r>
      <w:r>
        <w:rPr>
          <w:rFonts w:ascii="Poppins" w:eastAsia="Times New Roman" w:hAnsi="Poppins" w:cs="Poppins"/>
          <w:b/>
          <w:bCs/>
          <w:kern w:val="0"/>
          <w:sz w:val="20"/>
          <w:szCs w:val="20"/>
          <w:lang w:eastAsia="en-GB"/>
          <w14:ligatures w14:val="none"/>
        </w:rPr>
        <w:t>:</w:t>
      </w:r>
      <w:r w:rsidRPr="00AF4FA1">
        <w:rPr>
          <w:rFonts w:ascii="Poppins" w:eastAsia="Times New Roman" w:hAnsi="Poppins" w:cs="Poppins"/>
          <w:kern w:val="0"/>
          <w:sz w:val="20"/>
          <w:szCs w:val="20"/>
          <w:lang w:eastAsia="en-GB"/>
          <w14:ligatures w14:val="none"/>
        </w:rPr>
        <w:t xml:space="preserve"> Updating CDD and EDD procedures in line with Cabinet Resolution No. 134 of 2025, conducting risk-based customer risk assessments inclusive of proliferation financing risk, and classifying all clients according to their appropriate risk profile.</w:t>
      </w:r>
    </w:p>
    <w:p w14:paraId="39F22438" w14:textId="081DADE7"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b/>
          <w:bCs/>
          <w:kern w:val="0"/>
          <w:sz w:val="20"/>
          <w:szCs w:val="20"/>
          <w:lang w:eastAsia="en-GB"/>
          <w14:ligatures w14:val="none"/>
        </w:rPr>
        <w:t>4. SAR / STR Reporting</w:t>
      </w:r>
      <w:r>
        <w:rPr>
          <w:rFonts w:ascii="Poppins" w:eastAsia="Times New Roman" w:hAnsi="Poppins" w:cs="Poppins"/>
          <w:b/>
          <w:bCs/>
          <w:kern w:val="0"/>
          <w:sz w:val="20"/>
          <w:szCs w:val="20"/>
          <w:lang w:eastAsia="en-GB"/>
          <w14:ligatures w14:val="none"/>
        </w:rPr>
        <w:t>:</w:t>
      </w:r>
      <w:r w:rsidRPr="00AF4FA1">
        <w:rPr>
          <w:rFonts w:ascii="Poppins" w:eastAsia="Times New Roman" w:hAnsi="Poppins" w:cs="Poppins"/>
          <w:kern w:val="0"/>
          <w:sz w:val="20"/>
          <w:szCs w:val="20"/>
          <w:lang w:eastAsia="en-GB"/>
          <w14:ligatures w14:val="none"/>
        </w:rPr>
        <w:t xml:space="preserve"> Registering on the goAML portal using a valid official company email address, identifying and documenting sector-specific red flags, training staff on internal suspicion reporting procedures, and maintaining complete Internal Suspicion Report (ISR) logs with supporting rationale.</w:t>
      </w:r>
    </w:p>
    <w:p w14:paraId="19643E1B" w14:textId="75A531BC"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b/>
          <w:bCs/>
          <w:kern w:val="0"/>
          <w:sz w:val="20"/>
          <w:szCs w:val="20"/>
          <w:lang w:eastAsia="en-GB"/>
          <w14:ligatures w14:val="none"/>
        </w:rPr>
        <w:lastRenderedPageBreak/>
        <w:t>5. Regulatory Reporting — TFS (CNMR &amp; PNMR)</w:t>
      </w:r>
      <w:r>
        <w:rPr>
          <w:rFonts w:ascii="Poppins" w:eastAsia="Times New Roman" w:hAnsi="Poppins" w:cs="Poppins"/>
          <w:b/>
          <w:bCs/>
          <w:kern w:val="0"/>
          <w:sz w:val="20"/>
          <w:szCs w:val="20"/>
          <w:lang w:eastAsia="en-GB"/>
          <w14:ligatures w14:val="none"/>
        </w:rPr>
        <w:t>:</w:t>
      </w:r>
      <w:r w:rsidRPr="00AF4FA1">
        <w:rPr>
          <w:rFonts w:ascii="Poppins" w:eastAsia="Times New Roman" w:hAnsi="Poppins" w:cs="Poppins"/>
          <w:kern w:val="0"/>
          <w:sz w:val="20"/>
          <w:szCs w:val="20"/>
          <w:lang w:eastAsia="en-GB"/>
          <w14:ligatures w14:val="none"/>
        </w:rPr>
        <w:t xml:space="preserve"> Implementing immediate transaction-freezing controls upon confirmed sanctions matches, submitting Confirmed Name Match Reports (CNMR) without delay upon confirmation, filing Partial Name Match Reports (PNMR) for any potential or partial matches, and documenting all TFS-related decisions, actions taken, and supporting evidence.</w:t>
      </w:r>
    </w:p>
    <w:p w14:paraId="35AF4968" w14:textId="5D71E9B0"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b/>
          <w:bCs/>
          <w:kern w:val="0"/>
          <w:sz w:val="20"/>
          <w:szCs w:val="20"/>
          <w:lang w:eastAsia="en-GB"/>
          <w14:ligatures w14:val="none"/>
        </w:rPr>
        <w:t>6. AML / TFS Staff Training</w:t>
      </w:r>
      <w:r>
        <w:rPr>
          <w:rFonts w:ascii="Poppins" w:eastAsia="Times New Roman" w:hAnsi="Poppins" w:cs="Poppins"/>
          <w:b/>
          <w:bCs/>
          <w:kern w:val="0"/>
          <w:sz w:val="20"/>
          <w:szCs w:val="20"/>
          <w:lang w:eastAsia="en-GB"/>
          <w14:ligatures w14:val="none"/>
        </w:rPr>
        <w:t>:</w:t>
      </w:r>
      <w:r w:rsidRPr="00AF4FA1">
        <w:rPr>
          <w:rFonts w:ascii="Poppins" w:eastAsia="Times New Roman" w:hAnsi="Poppins" w:cs="Poppins"/>
          <w:kern w:val="0"/>
          <w:sz w:val="20"/>
          <w:szCs w:val="20"/>
          <w:lang w:eastAsia="en-GB"/>
          <w14:ligatures w14:val="none"/>
        </w:rPr>
        <w:t xml:space="preserve"> Conducting AML/CFT and TFS training for all relevant employees, including refresher sessions and induction training for new joiners, and retaining attendance logs and training materials as evidence of compliance.</w:t>
      </w:r>
    </w:p>
    <w:p w14:paraId="209FEC15" w14:textId="77777777"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We acknowledge that failure to comply within the prescribed timeframe may result in administrative sanctions and financial penalties pursuant to Federal Decree-Law No. 10 of 2025 and Cabinet Resolution No. 71 of 2024.</w:t>
      </w:r>
    </w:p>
    <w:p w14:paraId="3230982E" w14:textId="77777777"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We undertake to provide the Ministry with complete evidence confirming the successful implementation of all corrective actions within the stipulated timeframe.</w:t>
      </w:r>
    </w:p>
    <w:p w14:paraId="0D4AD92E" w14:textId="77777777"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Yours sincerely,</w:t>
      </w:r>
    </w:p>
    <w:p w14:paraId="0B7A8398" w14:textId="103945F1" w:rsidR="00AF4FA1" w:rsidRPr="00AF4FA1" w:rsidRDefault="00AF4FA1" w:rsidP="00AF4FA1">
      <w:pPr>
        <w:spacing w:after="0" w:line="240" w:lineRule="auto"/>
        <w:rPr>
          <w:rFonts w:ascii="Poppins" w:eastAsia="Times New Roman" w:hAnsi="Poppins" w:cs="Poppins"/>
          <w:kern w:val="0"/>
          <w:sz w:val="20"/>
          <w:szCs w:val="20"/>
          <w:lang w:eastAsia="en-GB"/>
          <w14:ligatures w14:val="none"/>
        </w:rPr>
      </w:pPr>
    </w:p>
    <w:p w14:paraId="3D69D92D" w14:textId="77777777" w:rsid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 xml:space="preserve">Name: </w:t>
      </w:r>
      <w:r w:rsidRPr="00AF4FA1">
        <w:rPr>
          <w:rFonts w:ascii="Poppins" w:eastAsia="Times New Roman" w:hAnsi="Poppins" w:cs="Poppins"/>
          <w:b/>
          <w:bCs/>
          <w:kern w:val="0"/>
          <w:sz w:val="20"/>
          <w:szCs w:val="20"/>
          <w:lang w:eastAsia="en-GB"/>
          <w14:ligatures w14:val="none"/>
        </w:rPr>
        <w:t>[FULL NAME OF SIGNATORY]</w:t>
      </w:r>
      <w:r w:rsidRPr="00AF4FA1">
        <w:rPr>
          <w:rFonts w:ascii="Poppins" w:eastAsia="Times New Roman" w:hAnsi="Poppins" w:cs="Poppins"/>
          <w:kern w:val="0"/>
          <w:sz w:val="20"/>
          <w:szCs w:val="20"/>
          <w:lang w:eastAsia="en-GB"/>
          <w14:ligatures w14:val="none"/>
        </w:rPr>
        <w:t xml:space="preserve"> </w:t>
      </w:r>
    </w:p>
    <w:p w14:paraId="1F435CCA" w14:textId="60D0441F" w:rsid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Position:</w:t>
      </w:r>
      <w:r w:rsidRPr="00AF4FA1">
        <w:rPr>
          <w:rFonts w:ascii="Poppins" w:eastAsia="Times New Roman" w:hAnsi="Poppins" w:cs="Poppins"/>
          <w:b/>
          <w:bCs/>
          <w:kern w:val="0"/>
          <w:sz w:val="20"/>
          <w:szCs w:val="20"/>
          <w:lang w:eastAsia="en-GB"/>
          <w14:ligatures w14:val="none"/>
        </w:rPr>
        <w:t xml:space="preserve"> [DESIGNATION — e.g. Managing Director] </w:t>
      </w:r>
    </w:p>
    <w:p w14:paraId="48267E0A" w14:textId="77777777" w:rsid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 xml:space="preserve">Entity: </w:t>
      </w:r>
      <w:r w:rsidRPr="00AF4FA1">
        <w:rPr>
          <w:rFonts w:ascii="Poppins" w:eastAsia="Times New Roman" w:hAnsi="Poppins" w:cs="Poppins"/>
          <w:b/>
          <w:bCs/>
          <w:kern w:val="0"/>
          <w:sz w:val="20"/>
          <w:szCs w:val="20"/>
          <w:lang w:eastAsia="en-GB"/>
          <w14:ligatures w14:val="none"/>
        </w:rPr>
        <w:t>[ENTITY LEGAL NAME]</w:t>
      </w:r>
      <w:r w:rsidRPr="00AF4FA1">
        <w:rPr>
          <w:rFonts w:ascii="Poppins" w:eastAsia="Times New Roman" w:hAnsi="Poppins" w:cs="Poppins"/>
          <w:kern w:val="0"/>
          <w:sz w:val="20"/>
          <w:szCs w:val="20"/>
          <w:lang w:eastAsia="en-GB"/>
          <w14:ligatures w14:val="none"/>
        </w:rPr>
        <w:t xml:space="preserve"> </w:t>
      </w:r>
    </w:p>
    <w:p w14:paraId="2288451E" w14:textId="77777777" w:rsid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 xml:space="preserve">Date: </w:t>
      </w:r>
      <w:r w:rsidRPr="00AF4FA1">
        <w:rPr>
          <w:rFonts w:ascii="Poppins" w:eastAsia="Times New Roman" w:hAnsi="Poppins" w:cs="Poppins"/>
          <w:b/>
          <w:bCs/>
          <w:kern w:val="0"/>
          <w:sz w:val="20"/>
          <w:szCs w:val="20"/>
          <w:lang w:eastAsia="en-GB"/>
          <w14:ligatures w14:val="none"/>
        </w:rPr>
        <w:t>[DATE OF SIGNING]</w:t>
      </w:r>
      <w:r w:rsidRPr="00AF4FA1">
        <w:rPr>
          <w:rFonts w:ascii="Poppins" w:eastAsia="Times New Roman" w:hAnsi="Poppins" w:cs="Poppins"/>
          <w:kern w:val="0"/>
          <w:sz w:val="20"/>
          <w:szCs w:val="20"/>
          <w:lang w:eastAsia="en-GB"/>
          <w14:ligatures w14:val="none"/>
        </w:rPr>
        <w:t xml:space="preserve"> </w:t>
      </w:r>
    </w:p>
    <w:p w14:paraId="76171570" w14:textId="789B41CE" w:rsidR="00AF4FA1" w:rsidRPr="00AF4FA1" w:rsidRDefault="00AF4FA1" w:rsidP="00AF4FA1">
      <w:pPr>
        <w:spacing w:before="100" w:beforeAutospacing="1" w:after="100" w:afterAutospacing="1" w:line="240" w:lineRule="auto"/>
        <w:rPr>
          <w:rFonts w:ascii="Poppins" w:eastAsia="Times New Roman" w:hAnsi="Poppins" w:cs="Poppins"/>
          <w:kern w:val="0"/>
          <w:sz w:val="20"/>
          <w:szCs w:val="20"/>
          <w:lang w:eastAsia="en-GB"/>
          <w14:ligatures w14:val="none"/>
        </w:rPr>
      </w:pPr>
      <w:r w:rsidRPr="00AF4FA1">
        <w:rPr>
          <w:rFonts w:ascii="Poppins" w:eastAsia="Times New Roman" w:hAnsi="Poppins" w:cs="Poppins"/>
          <w:kern w:val="0"/>
          <w:sz w:val="20"/>
          <w:szCs w:val="20"/>
          <w:lang w:eastAsia="en-GB"/>
          <w14:ligatures w14:val="none"/>
        </w:rPr>
        <w:t xml:space="preserve">Stamp: </w:t>
      </w:r>
      <w:r w:rsidRPr="00AF4FA1">
        <w:rPr>
          <w:rFonts w:ascii="Poppins" w:eastAsia="Times New Roman" w:hAnsi="Poppins" w:cs="Poppins"/>
          <w:b/>
          <w:bCs/>
          <w:kern w:val="0"/>
          <w:sz w:val="20"/>
          <w:szCs w:val="20"/>
          <w:lang w:eastAsia="en-GB"/>
          <w14:ligatures w14:val="none"/>
        </w:rPr>
        <w:t>[COMPANY STAMP]</w:t>
      </w:r>
    </w:p>
    <w:p w14:paraId="0CB30CD6" w14:textId="77777777" w:rsidR="00AF4FA1" w:rsidRPr="00AF4FA1" w:rsidRDefault="00AF4FA1">
      <w:pPr>
        <w:rPr>
          <w:rFonts w:ascii="Poppins" w:hAnsi="Poppins" w:cs="Poppins"/>
          <w:sz w:val="20"/>
          <w:szCs w:val="20"/>
        </w:rPr>
      </w:pPr>
    </w:p>
    <w:sectPr w:rsidR="00AF4FA1" w:rsidRPr="00AF4FA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4FD2" w14:textId="77777777" w:rsidR="00131490" w:rsidRDefault="00131490" w:rsidP="00FB4CB2">
      <w:pPr>
        <w:spacing w:after="0" w:line="240" w:lineRule="auto"/>
      </w:pPr>
      <w:r>
        <w:separator/>
      </w:r>
    </w:p>
  </w:endnote>
  <w:endnote w:type="continuationSeparator" w:id="0">
    <w:p w14:paraId="6B16717B" w14:textId="77777777" w:rsidR="00131490" w:rsidRDefault="00131490" w:rsidP="00FB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B87B" w14:textId="77777777" w:rsidR="00131490" w:rsidRDefault="00131490" w:rsidP="00FB4CB2">
      <w:pPr>
        <w:spacing w:after="0" w:line="240" w:lineRule="auto"/>
      </w:pPr>
      <w:r>
        <w:separator/>
      </w:r>
    </w:p>
  </w:footnote>
  <w:footnote w:type="continuationSeparator" w:id="0">
    <w:p w14:paraId="746FC144" w14:textId="77777777" w:rsidR="00131490" w:rsidRDefault="00131490" w:rsidP="00FB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8A21" w14:textId="7436835D" w:rsidR="00FB4CB2" w:rsidRPr="00FB4CB2" w:rsidRDefault="00FB4CB2">
    <w:pPr>
      <w:pStyle w:val="Header"/>
      <w:rPr>
        <w:lang w:val="en-US"/>
      </w:rPr>
    </w:pPr>
    <w:r>
      <w:rPr>
        <w:lang w:val="en-US"/>
      </w:rPr>
      <w:t>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A1"/>
    <w:rsid w:val="000254DF"/>
    <w:rsid w:val="00131490"/>
    <w:rsid w:val="0024670A"/>
    <w:rsid w:val="00596E90"/>
    <w:rsid w:val="00AF4FA1"/>
    <w:rsid w:val="00FB4C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FACC"/>
  <w15:chartTrackingRefBased/>
  <w15:docId w15:val="{F222B443-2E2E-414E-965F-8A0CB308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FA1"/>
    <w:rPr>
      <w:rFonts w:eastAsiaTheme="majorEastAsia" w:cstheme="majorBidi"/>
      <w:color w:val="272727" w:themeColor="text1" w:themeTint="D8"/>
    </w:rPr>
  </w:style>
  <w:style w:type="paragraph" w:styleId="Title">
    <w:name w:val="Title"/>
    <w:basedOn w:val="Normal"/>
    <w:next w:val="Normal"/>
    <w:link w:val="TitleChar"/>
    <w:uiPriority w:val="10"/>
    <w:qFormat/>
    <w:rsid w:val="00AF4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FA1"/>
    <w:pPr>
      <w:spacing w:before="160"/>
      <w:jc w:val="center"/>
    </w:pPr>
    <w:rPr>
      <w:i/>
      <w:iCs/>
      <w:color w:val="404040" w:themeColor="text1" w:themeTint="BF"/>
    </w:rPr>
  </w:style>
  <w:style w:type="character" w:customStyle="1" w:styleId="QuoteChar">
    <w:name w:val="Quote Char"/>
    <w:basedOn w:val="DefaultParagraphFont"/>
    <w:link w:val="Quote"/>
    <w:uiPriority w:val="29"/>
    <w:rsid w:val="00AF4FA1"/>
    <w:rPr>
      <w:i/>
      <w:iCs/>
      <w:color w:val="404040" w:themeColor="text1" w:themeTint="BF"/>
    </w:rPr>
  </w:style>
  <w:style w:type="paragraph" w:styleId="ListParagraph">
    <w:name w:val="List Paragraph"/>
    <w:basedOn w:val="Normal"/>
    <w:uiPriority w:val="34"/>
    <w:qFormat/>
    <w:rsid w:val="00AF4FA1"/>
    <w:pPr>
      <w:ind w:left="720"/>
      <w:contextualSpacing/>
    </w:pPr>
  </w:style>
  <w:style w:type="character" w:styleId="IntenseEmphasis">
    <w:name w:val="Intense Emphasis"/>
    <w:basedOn w:val="DefaultParagraphFont"/>
    <w:uiPriority w:val="21"/>
    <w:qFormat/>
    <w:rsid w:val="00AF4FA1"/>
    <w:rPr>
      <w:i/>
      <w:iCs/>
      <w:color w:val="0F4761" w:themeColor="accent1" w:themeShade="BF"/>
    </w:rPr>
  </w:style>
  <w:style w:type="paragraph" w:styleId="IntenseQuote">
    <w:name w:val="Intense Quote"/>
    <w:basedOn w:val="Normal"/>
    <w:next w:val="Normal"/>
    <w:link w:val="IntenseQuoteChar"/>
    <w:uiPriority w:val="30"/>
    <w:qFormat/>
    <w:rsid w:val="00AF4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FA1"/>
    <w:rPr>
      <w:i/>
      <w:iCs/>
      <w:color w:val="0F4761" w:themeColor="accent1" w:themeShade="BF"/>
    </w:rPr>
  </w:style>
  <w:style w:type="character" w:styleId="IntenseReference">
    <w:name w:val="Intense Reference"/>
    <w:basedOn w:val="DefaultParagraphFont"/>
    <w:uiPriority w:val="32"/>
    <w:qFormat/>
    <w:rsid w:val="00AF4FA1"/>
    <w:rPr>
      <w:b/>
      <w:bCs/>
      <w:smallCaps/>
      <w:color w:val="0F4761" w:themeColor="accent1" w:themeShade="BF"/>
      <w:spacing w:val="5"/>
    </w:rPr>
  </w:style>
  <w:style w:type="paragraph" w:customStyle="1" w:styleId="font-claude-response-body">
    <w:name w:val="font-claude-response-body"/>
    <w:basedOn w:val="Normal"/>
    <w:rsid w:val="00AF4FA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F4FA1"/>
    <w:rPr>
      <w:b/>
      <w:bCs/>
    </w:rPr>
  </w:style>
  <w:style w:type="paragraph" w:styleId="Header">
    <w:name w:val="header"/>
    <w:basedOn w:val="Normal"/>
    <w:link w:val="HeaderChar"/>
    <w:uiPriority w:val="99"/>
    <w:unhideWhenUsed/>
    <w:rsid w:val="00FB4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B2"/>
  </w:style>
  <w:style w:type="paragraph" w:styleId="Footer">
    <w:name w:val="footer"/>
    <w:basedOn w:val="Normal"/>
    <w:link w:val="FooterChar"/>
    <w:uiPriority w:val="99"/>
    <w:unhideWhenUsed/>
    <w:rsid w:val="00FB4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58D39B-4358-844F-B55C-5CF3927C5A39}">
  <we:reference id="wa200001011" version="1.4.0.0" store="en-IN" storeType="OMEX"/>
  <we:alternateReferences>
    <we:reference id="WA200001011" version="1.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00CB1A90DC54E941CB78932E3C5DF" ma:contentTypeVersion="14" ma:contentTypeDescription="Create a new document." ma:contentTypeScope="" ma:versionID="49b95e5d9ead25f3bf9401df408646f8">
  <xsd:schema xmlns:xsd="http://www.w3.org/2001/XMLSchema" xmlns:xs="http://www.w3.org/2001/XMLSchema" xmlns:p="http://schemas.microsoft.com/office/2006/metadata/properties" xmlns:ns2="4ba6bc75-bb28-4dcc-9235-1d6026fa0d81" xmlns:ns3="40c8d9a9-462b-491b-bb91-d3e8f309a935" targetNamespace="http://schemas.microsoft.com/office/2006/metadata/properties" ma:root="true" ma:fieldsID="e7a4f4a262ff0ac83b4dce6a66c46bf0" ns2:_="" ns3:_="">
    <xsd:import namespace="4ba6bc75-bb28-4dcc-9235-1d6026fa0d81"/>
    <xsd:import namespace="40c8d9a9-462b-491b-bb91-d3e8f309a9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6bc75-bb28-4dcc-9235-1d6026fa0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14a17c-2113-40d6-9f8a-03a50b0789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8d9a9-462b-491b-bb91-d3e8f309a93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a6bc75-bb28-4dcc-9235-1d6026fa0d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E76A32-1AE2-459B-B9F4-5E59F49E290B}"/>
</file>

<file path=customXml/itemProps2.xml><?xml version="1.0" encoding="utf-8"?>
<ds:datastoreItem xmlns:ds="http://schemas.openxmlformats.org/officeDocument/2006/customXml" ds:itemID="{5F99741B-1452-4877-96D9-756E3C833C62}"/>
</file>

<file path=customXml/itemProps3.xml><?xml version="1.0" encoding="utf-8"?>
<ds:datastoreItem xmlns:ds="http://schemas.openxmlformats.org/officeDocument/2006/customXml" ds:itemID="{BC7647C3-0E67-4780-BED3-E83389C9D270}"/>
</file>

<file path=docProps/app.xml><?xml version="1.0" encoding="utf-8"?>
<Properties xmlns="http://schemas.openxmlformats.org/officeDocument/2006/extended-properties" xmlns:vt="http://schemas.openxmlformats.org/officeDocument/2006/docPropsVTypes">
  <Template>Normal.dotm</Template>
  <TotalTime>10</TotalTime>
  <Pages>2</Pages>
  <Words>481</Words>
  <Characters>2959</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Pathik Shah</dc:creator>
  <cp:keywords/>
  <dc:description/>
  <cp:lastModifiedBy>Pathik Shah</cp:lastModifiedBy>
  <cp:revision>3</cp:revision>
  <dcterms:created xsi:type="dcterms:W3CDTF">2026-03-27T00:37:00Z</dcterms:created>
  <dcterms:modified xsi:type="dcterms:W3CDTF">2026-03-27T00:50:00Z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0x01010091500CB1A90DC54E941CB78932E3C5DF</vt:lpwstr>
  </property>
</Properties>
</file>